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22 101 vom 10. April 2024</w:t>
      </w:r>
    </w:p>
    <w:p>
      <w:r>
        <w:t>VS Kantonsgericht, 2024-04-10, FR</w:t>
      </w:r>
    </w:p>
    <w:p>
      <w:r>
        <w:rPr>
          <w:b/>
        </w:rPr>
        <w:t xml:space="preserve">Quelle: </w:t>
      </w:r>
      <w:r>
        <w:t>https://mcp.opencaselaw.ch/entscheid/vs_gerichte_S1 22 101</w:t>
      </w:r>
    </w:p>
    <w:p>
      <w:r>
        <w:t>FR: VS_GERICHTE S1 22 101 du 10 avril 2024</w:t>
      </w:r>
    </w:p>
    <w:p>
      <w:r>
        <w:t>IT: VS_GERICHTE S1 22 101 del 10 aprile 2024</w:t>
      </w:r>
    </w:p>
    <w:p>
      <w:pPr>
        <w:pStyle w:val="Heading2"/>
      </w:pPr>
      <w:r>
        <w:t>Regeste</w:t>
      </w:r>
    </w:p>
    <w:p>
      <w:r>
        <w:t>S1 22 101 ARRÊT DU 10 AVRIL 2024 Tribunal cantonal du Valais Cour des assurances sociales Composition : Candido Prada, président ; Jean-Bernard Fournier et Christophe Joris, juges ; Delphine Rey, greffière en la cause X _________, recourante, représentée par Inclusion Handicap, à Lausanne contre OFFICE CANTONAL AI DU VALAIS, intimé (détermination du revenu sans invalidité)</w:t>
      </w:r>
    </w:p>
    <w:p>
      <w:pPr>
        <w:pStyle w:val="Heading2"/>
      </w:pPr>
      <w:r>
        <w:t>Erwägungen</w:t>
      </w:r>
    </w:p>
    <w:p>
      <w:r>
        <w:rPr>
          <w:b/>
        </w:rPr>
        <w:t>E. 1.1</w:t>
      </w:r>
    </w:p>
    <w:p>
      <w:r>
        <w:t>Selon l'article 1 alinéa 1 LAI, les dispositions de la LPGA s'appliquent à l'AI (art. 1a à 26bis et 28 à 70), à moins que la LAI n'y déroge expressément. Posté le 24 juin 2022, le présent recours à l'encontre de la décision du 24 mai précédent a été interjeté dans le délai légal de trente jours (art. 60 LPGA) et devant l'instance compétente (art. 56 et 57 LPGA ; art. 69 al. 1 LAI ; art. 81a al. 1 LPJA). Il répond par ailleurs aux autres conditions formelles de recevabilité (art. 61 let. b LPGA), de sorte que la Cour doit entrer en matière.</w:t>
      </w:r>
    </w:p>
    <w:p>
      <w:r>
        <w:rPr>
          <w:b/>
        </w:rPr>
        <w:t>E. 1.2</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consid. 7.1 ; 144 V 210 consid. 4.3.1). En l’occurrence, l’évaluation du taux d’invalidité ayant eu lieu au 1er novembre 2020, c’est l’ancien droit, soit le droit en vigueur jusqu’au 31 décembre 2021, qui est applicable.</w:t>
      </w:r>
    </w:p>
    <w:p>
      <w:r>
        <w:rPr>
          <w:b/>
        </w:rPr>
        <w:t>E. 2</w:t>
      </w:r>
    </w:p>
    <w:p>
      <w:r>
        <w:t>Le litige porte sur le degré d’invalidité et plus particulièrement sur le revenu sans invalidité et le niveau de compétences selon l’ESS à retenir.</w:t>
      </w:r>
    </w:p>
    <w:p>
      <w:r>
        <w:rPr>
          <w:b/>
        </w:rPr>
        <w:t>E. 3.1</w:t>
      </w:r>
    </w:p>
    <w:p>
      <w:r>
        <w:t>Lorsque l'assuré dépose une nouvelle demande de prestations, après que l'OAI lui a refusé tout droit à celles-ci dans un premier temps, ce sont les règles relatives à la révision (art. 17 LPGA dans sa teneur jusqu’au 31 décembre 2021) qui trouvent application par analogie (ATF 130 V 71 consid. 3.2).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 voir également ATF 112 V 372 consid. 2b et 390 consid. 1b).</w:t>
      </w:r>
    </w:p>
    <w:p>
      <w:r>
        <w:t>- 7 -</w:t>
      </w:r>
    </w:p>
    <w:p>
      <w:r>
        <w:rPr>
          <w:b/>
        </w:rPr>
        <w:t>E. 3.2</w:t>
      </w:r>
    </w:p>
    <w:p>
      <w:r>
        <w:t>Est réputée invalidité, l’incapacité de gain totale ou partielle présumée permanente ou de longue durée, résultant d’une infirmité congénitale, d’une maladie ou d’un accident (art. 8 al. 1 LPGA et 4 al. 1 LAI). Selon l’article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L'assuré a droit à une rente s'il a présenté une incapacité de travail (art. 6 LPGA) d’au moins 40% en moyenne durant une année sans interruption notable et, qu’au terme de cette année, il est invalide à 40% au moins (art. 28 al. 1 let. b et c LAI). En vertu de l’article 28 alinéa 2 LAI (dans sa version jusqu’au 31 décembre 2021), l’assuré a droit à une rente entière s’il est invalide à 70% au moins, à un trois-quarts de rente s’il est invalide à 60% au moins, à une demi-rente s’il est invalide à 50% au moins, ou à un quart de rente s’il est invalide à 40% au moins.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3.2.1</w:t>
      </w:r>
    </w:p>
    <w:p>
      <w:r>
        <w:t>et 8C_46/2018 du 11 janvier 2019 consid. 4.4 et les références).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w:t>
      </w:r>
    </w:p>
    <w:p>
      <w:r>
        <w:rPr>
          <w:b/>
        </w:rPr>
        <w:t>E. 3.3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Pour fixer le revenu sans invalidité, il faut établir ce que l’assuré aurait - au degré de la vraisemblance prépondérante - réellement pu obtenir au moment déterminant s’il n’était pas invalide (ATF 139 V 28 consid. 3.3.2 ; 135 V 297 consid. 5.1). Ce revenu doit être</w:t>
      </w:r>
    </w:p>
    <w:p>
      <w:r>
        <w:t>- 8 -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9C_869/2017 du 4 mai 2018 consid. 2.2). Ce n’est qu’en présence de circonstances particulières qu’il peut se justifier qu’on s’en écarte et qu’on recoure aux données statistiques résultant de l'ESS (arrêt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I 168/05 du 24 avril 2006 consid. 3.3 et B 80/01 du 17 octobre 2003 consid. 5.2.2). Quant au revenu avec invalidité, il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 consid. 4.2.1 ; arrêts 8C_171/2021 du 11 décembre 2021 consid. 3.3 et 4.3, 9C_843/2015 du 7 avril 2016 consid. 5.2) Depuis la 10ème édition des ESS (ESS 2012), les emplois sont classés par l'Office fédéral de la statistique (OFS) par profession en fonction du type de travail qui est généralement effectué. L'accent est ainsi mis sur le type de tâches que la personne</w:t>
      </w:r>
    </w:p>
    <w:p>
      <w:r>
        <w:t>- 9 -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(arrêts 9C_268/2021 du 15 octobre 2021 consid.</w:t>
      </w:r>
    </w:p>
    <w:p>
      <w:r>
        <w:rPr>
          <w:b/>
        </w:rPr>
        <w:t>E. 3.4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w:t>
      </w:r>
    </w:p>
    <w:p>
      <w:r>
        <w:t>- 10 -</w:t>
      </w:r>
    </w:p>
    <w:p>
      <w:r>
        <w:rPr>
          <w:b/>
        </w:rPr>
        <w:t>E. 4</w:t>
      </w:r>
    </w:p>
    <w:p>
      <w:r>
        <w:t>Dans le cas d’espèce, l’on relève d’abord que l’état de santé de la recourante s’est aggravé depuis la décision de refus de prestations de juin 2003 avec notamment une poussée du lupus érythémateux systémique en 2006-2007 et la présence d’un trouble du déficit de l’attention avec hyperactivité. Cet état de fait a conduit à un changement important des circonstances tel que requis par la jurisprudence, de sorte que l’intimé était fondé à entrer en matière sur la nouvelle demande de prestations de juillet 2019. En l’occurrence, l’intéressée ne remet pas en question le recours aux données statistiques de l’ESS pour déterminer les revenus avec et sans invalidité, ni le revenu avec invalidité. En revanche, elle conteste le revenu hypothétique retenu par l’OAI, en particulier le choix du niveau de compétences et de la table applicable. Pour arrêter le revenu sans invalidité, l’OAI s’est référé aux données statistiques ressortant de l’ESS 2018, plus particulièrement à la table TA1, en prenant pour base le salaire mensuel auquel peuvent prétendre les femmes dans la branche 62-63 (« Activ. Informatiques et services d’information ») au niveau de compétences 2, soit 5931 francs, montant qu’il a ensuite adapté à l’horaire de travail moyen dans la branche (41.2 heures par semaine) et à l’indice des salaires nominaux (0.8% en 2019, 2.7% en 2020), ce qui aboutissait à un revenu sans invalidité de 75'888 fr. 75 par année. Cette manière de faire n’appelle aucune critique. Contrairement à ce que prétend la recourante, l’intimé a appliqué avec raison la table de 2018, puisque la décision litigieuse, datée du 24 mai 2022, était antérieure à la publication du 23 août 2022 de l’ESS 2020 (ATF 143 V 295 consid. 4). L’argumentation développée dans le recours du 24 juin 2022 et surtout dans la réplique du 8 septembre suivant au sujet de la référence, dans le cadre de la détermination du revenu de valide, au niveau de compétences 3 (tâches pratiques complexes nécessitant un vaste ensemble de connaissances dans un domaine spécialisé) plutôt que 2 (tâches pratiques telles que la vente, les soins, le traitement de données et les tâches administratives, l'utilisation de machines et d'appareils électroniques, les services de sécurité et la conduite de véhicules) se révèle infondée. En l’occurrence, la recourante est au bénéfice d’un CFC de médiamaticienne depuis 2016. Hormis un engagement de durée déterminée en tant que Webmaster Junior en 2017 et un stage de quelques mois dans le département marketing d’un courtier en assurances en 2019, la recourante n’avait pas acquis d’expérience dans son domaine de formation avant l’invalidité. Rien au dossier n’indique non plus que, durant ses années d’activité ayant précédé l’invalidité (réceptionniste, assistante de production, collaboratrice à l’organisation d’événements,</w:t>
      </w:r>
    </w:p>
    <w:p>
      <w:r>
        <w:t>- 11 - etc.), elle avait acquis des qualifications particulières. Par ailleurs, comme souligné par la recourante dans sa réplique, le médiamaticien est au carrefour de plusieurs domaines des technologies de l’information et de la communication, à savoir des domaines de l’information, du multimédia, du marketing et de la communication. Il dispose ainsi d’un profil de généraliste. Or, le niveau de compétences 3 implique des tâches pratiques complexes qui nécessitent un vaste ensemble de connaissances dans un domaine spécialisé. Concernant l’arrêt genevois cité par la recourante, dans lequel les juges cantonaux ont retenu le niveau de compétences 3 pour déterminer le revenu sans invalidité d’un assuré qui suivait un apprentissage d’informaticien, en filière CFC, au moment de l’accident, celui-ci ne lui est d’aucun secours. En effet, cet arrêt a été annulé par le Tribunal fédéral, qui a considéré qu’il fallait appliquer la table T17 dans le cas d’espèce (arrêt 8C_66/2020 du 14 avril 2020). Au vu de ce qui précède, c’est à juste titre que l’OAI a retenu un niveau de compétences 2 pour déterminer le revenu sans invalidité. Dans sa réplique du 8 septembre 2022, la recourante a ensuite fait valoir qu’au vu de la jurisprudence fédérale, il convenait plutôt de se référer à la table T17. Dans l’arrêt précité, comme mentionné ci-dessus, le Tribunal fédéral s’est référé à la table T17 (groupe 35, « Techniciens/iennes de l’information et des communications). Il a estimé que celle-ci était appropriée car elle permettait d’évaluer le revenu que l’assuré aurait réalisé sans l’accident, en tant qu’informaticien avec CFC, de manière plus concrète que la table TA1 (branche 62-63, « Activ. Informatiques et services d’information »). Force est de constater, à l’instar de l’intimé, que même en appliquant la table T17, le degré d’invalidité qui en résulterait n’ouvrirait pas le droit à une demi-rente d’invalidité. En effet, en prenant pour base le salaire mensuel auquel peuvent prétendre les femmes dans le groupe 35 (« Techniciens/iennes de l’information et des communications ») de la classe d’âge « total » de l’ESS 2018 (5495 fr.), montant qu’il faut ensuite adapter à l’horaire de travail moyen dans la branche (41.3 heures par semaine) et à l’indice des salaires nominaux (0.8% pour 2019, 2.7% pour 2020), on obtient un revenu sans invalidité de 5873 fr. 35 par mois, soit 70'480 fr. 20 par année. Comparé au revenu avec invalidité de 41'917 fr. 55, il résulte un taux d’invalidité de 40.53%, arrondi à 41%. Même en tenant compte de la classe d’âge (30-49 ans), comme l’a fait la recourante, le droit à une demi-rente ne lui serait pas ouvert, dès lors qu’il résulterait de la comparaison des revenus un taux d’invalidité de 41% également.</w:t>
      </w:r>
    </w:p>
    <w:p>
      <w:r>
        <w:rPr>
          <w:b/>
        </w:rPr>
        <w:t>E. 5</w:t>
      </w:r>
    </w:p>
    <w:p>
      <w:r>
        <w:t>Mal fondé, le recours est rejeté et la décision du 24 mai 2022 confirmée.</w:t>
      </w:r>
    </w:p>
    <w:p>
      <w:r>
        <w:t>- 12 -</w:t>
      </w:r>
    </w:p>
    <w:p>
      <w:r>
        <w:rPr>
          <w:b/>
        </w:rPr>
        <w:t>E. 6</w:t>
      </w:r>
    </w:p>
    <w:p>
      <w:r>
        <w:t>Les frais judiciaires, fixés sur le vu du principe de la couverture des frais et de l’équivalence des prestations à 500 fr. (art. 61 let. fbis LPGA, art. 69 al. 1bis LAI, art. 1 al. 2, 81a al. 2 et 89 al. 1 LPJA), doivent être supportés par la recourante qui succombe et compensés avec l’avance du même montant qu’elle a versée. Eu égard à l’issue de la cause, il n’est pas alloué de dépens (art. 61 let. g LPGA a contrario). Prononce</w:t>
      </w:r>
    </w:p>
    <w:p>
      <w:r>
        <w:t>1. Le recours est rejeté. 2. Les frais, par 500 fr., sont mis à la charge de X _________. 3. Il n’est pas alloué de dépens. Sion, le 10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